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CC678" w14:textId="796D5815" w:rsidR="008616D9" w:rsidRPr="00836FFC" w:rsidRDefault="00181EDF">
      <w:pPr>
        <w:rPr>
          <w:b/>
        </w:rPr>
      </w:pPr>
      <w:r w:rsidRPr="00836FFC">
        <w:rPr>
          <w:b/>
        </w:rPr>
        <w:t xml:space="preserve">Vragen bij hoofdstuk 13 Inleiding in de Gezondheidszorg (IGZ). </w:t>
      </w:r>
    </w:p>
    <w:p w14:paraId="0FA6992D" w14:textId="77777777" w:rsidR="00181EDF" w:rsidRDefault="00181EDF" w:rsidP="00181EDF">
      <w:r>
        <w:t xml:space="preserve">Let op! In de derde druk van IGZ wordt nog alleen gesproken over de Wet Bescherming Persoonsgegevens. </w:t>
      </w:r>
    </w:p>
    <w:p w14:paraId="054F13F1" w14:textId="77777777" w:rsidR="00181EDF" w:rsidRPr="00181EDF" w:rsidRDefault="00181EDF" w:rsidP="00181EDF">
      <w:pPr>
        <w:rPr>
          <w:b/>
        </w:rPr>
      </w:pPr>
      <w:r w:rsidRPr="00181EDF">
        <w:rPr>
          <w:b/>
        </w:rPr>
        <w:t>Verschil AVG en WBP</w:t>
      </w:r>
    </w:p>
    <w:p w14:paraId="45BCA7B1" w14:textId="77777777" w:rsidR="00181EDF" w:rsidRDefault="00181EDF" w:rsidP="00181EDF">
      <w:pPr>
        <w:pBdr>
          <w:bottom w:val="single" w:sz="6" w:space="1" w:color="auto"/>
        </w:pBdr>
      </w:pPr>
      <w:r>
        <w:t>Het verschil tussen de AVG en WBP, is dat de AVG boven de al bestaande Wet Bescherming Persoonsgegevens zal komen te staan met strengere regels en hogere sancties.</w:t>
      </w:r>
    </w:p>
    <w:p w14:paraId="717A1268" w14:textId="77777777" w:rsidR="00AB0D57" w:rsidRPr="00AB0D57" w:rsidRDefault="00AB0D57" w:rsidP="00AB0D57">
      <w:pPr>
        <w:pBdr>
          <w:bottom w:val="single" w:sz="6" w:space="1" w:color="auto"/>
        </w:pBdr>
        <w:rPr>
          <w:b/>
        </w:rPr>
      </w:pPr>
      <w:r w:rsidRPr="00AB0D57">
        <w:rPr>
          <w:b/>
        </w:rPr>
        <w:t>Algemene Verordening Gegevensbescherming voor de zorgsector</w:t>
      </w:r>
    </w:p>
    <w:p w14:paraId="73210934" w14:textId="77777777" w:rsidR="00AB0D57" w:rsidRDefault="00AB0D57" w:rsidP="00AB0D57">
      <w:pPr>
        <w:pBdr>
          <w:bottom w:val="single" w:sz="6" w:space="1" w:color="auto"/>
        </w:pBdr>
      </w:pPr>
      <w:r>
        <w:t>Sinds 25 mei 2018 is de Algemene verordening gegevensbescherming (AVG) van toepassing. Sinds die datum geldt dezelfde privacywetgeving in de hele Europese Unie (EU). De Wet bescherming persoonsgegevens (</w:t>
      </w:r>
      <w:proofErr w:type="spellStart"/>
      <w:r>
        <w:t>Wbp</w:t>
      </w:r>
      <w:proofErr w:type="spellEnd"/>
      <w:r>
        <w:t>) geldt niet meer.</w:t>
      </w:r>
    </w:p>
    <w:p w14:paraId="556AFF9C" w14:textId="77777777" w:rsidR="00AB0D57" w:rsidRPr="00AB0D57" w:rsidRDefault="00AB0D57" w:rsidP="00AB0D57">
      <w:pPr>
        <w:pBdr>
          <w:bottom w:val="single" w:sz="6" w:space="1" w:color="auto"/>
        </w:pBdr>
        <w:rPr>
          <w:sz w:val="16"/>
          <w:szCs w:val="16"/>
        </w:rPr>
      </w:pPr>
      <w:r w:rsidRPr="00AB0D57">
        <w:t>Burgers hebben nu meer rechten als het gaat om te weten welke gegevens van hen verzameld zijn, hoe lang die worden bewaard en aan welke derden deze gegevens worden verstrekt. Zij hebben de mogelijkheid hun gegevens te laten wijzigen of te laten verwijderen. Overheden, organisaties en bedrijven die zich niet aan de regels houden kunnen daarvoor boetes krijgen. Zorgvuldig omgaan met persoonsgegevens van burgers en medewerkers is een kenmerk van open en transparante organisaties, die werken vanuit vertrouwen en bereid zijn rekenschap af te leggen naar hun relaties en hun omgeving.</w:t>
      </w:r>
    </w:p>
    <w:p w14:paraId="272DC7A5" w14:textId="1348BEAE" w:rsidR="00836FFC" w:rsidRPr="005E5016" w:rsidRDefault="00AB0D57" w:rsidP="005E5016">
      <w:pPr>
        <w:pBdr>
          <w:bottom w:val="single" w:sz="6" w:space="1" w:color="auto"/>
        </w:pBdr>
        <w:rPr>
          <w:sz w:val="16"/>
          <w:szCs w:val="16"/>
        </w:rPr>
      </w:pPr>
      <w:r w:rsidRPr="00AB0D57">
        <w:rPr>
          <w:sz w:val="16"/>
          <w:szCs w:val="16"/>
        </w:rPr>
        <w:t>Bron: https://www.rijksoverheid.nl/ministeries/ministerie-van-volksgezondheid-welzijn-en-sport/avg</w:t>
      </w:r>
    </w:p>
    <w:p w14:paraId="2250C95A" w14:textId="77777777" w:rsidR="00836FFC" w:rsidRDefault="00836FFC" w:rsidP="00181EDF">
      <w:r>
        <w:t>Vraag 1. Noem twee belangrijke wetten voor patiënten rechten.</w:t>
      </w:r>
    </w:p>
    <w:p w14:paraId="10495552" w14:textId="77777777" w:rsidR="00836FFC" w:rsidRDefault="00836FFC" w:rsidP="00836FFC">
      <w:pPr>
        <w:pStyle w:val="Lijstalinea"/>
        <w:numPr>
          <w:ilvl w:val="0"/>
          <w:numId w:val="1"/>
        </w:numPr>
      </w:pPr>
      <w:r>
        <w:t>.</w:t>
      </w:r>
    </w:p>
    <w:p w14:paraId="685AD32C" w14:textId="77777777" w:rsidR="00836FFC" w:rsidRDefault="00836FFC" w:rsidP="00836FFC">
      <w:pPr>
        <w:pStyle w:val="Lijstalinea"/>
        <w:numPr>
          <w:ilvl w:val="0"/>
          <w:numId w:val="1"/>
        </w:numPr>
      </w:pPr>
      <w:r>
        <w:t>.</w:t>
      </w:r>
    </w:p>
    <w:p w14:paraId="7F643B83" w14:textId="77777777" w:rsidR="00836FFC" w:rsidRDefault="00836FFC" w:rsidP="00836FFC">
      <w:r>
        <w:t>Vraag 2. Wat betekent het als er gesproken wordt over een fundamenteel recht?</w:t>
      </w:r>
    </w:p>
    <w:p w14:paraId="434C0C72" w14:textId="77777777" w:rsidR="00836FFC" w:rsidRDefault="00836FFC" w:rsidP="00836FFC"/>
    <w:p w14:paraId="578654FE" w14:textId="77777777" w:rsidR="00836FFC" w:rsidRDefault="00836FFC" w:rsidP="00836FFC">
      <w:r>
        <w:t xml:space="preserve">Vraag 3. Als een patiënt het niet eens is met jouw advies wat je geeft in je rol als doktersassistent. Hoe moet/kan je dan het beste handelen? </w:t>
      </w:r>
    </w:p>
    <w:p w14:paraId="57777D79" w14:textId="77777777" w:rsidR="00836FFC" w:rsidRDefault="00836FFC" w:rsidP="00836FFC"/>
    <w:p w14:paraId="1E1565B3" w14:textId="77777777" w:rsidR="00836FFC" w:rsidRDefault="00836FFC" w:rsidP="00836FFC">
      <w:r>
        <w:t xml:space="preserve">Vraag 4. Is er voor elke behandeling toestemming nodig? </w:t>
      </w:r>
    </w:p>
    <w:p w14:paraId="35EB363B" w14:textId="77777777" w:rsidR="00836FFC" w:rsidRDefault="00836FFC" w:rsidP="00836FFC"/>
    <w:p w14:paraId="1B8C43BC" w14:textId="77777777" w:rsidR="00836FFC" w:rsidRDefault="00836FFC" w:rsidP="00836FFC">
      <w:r>
        <w:t>Vraag 5. Waar staat de afkorting WGBO voor?</w:t>
      </w:r>
    </w:p>
    <w:p w14:paraId="6F0F5604" w14:textId="77777777" w:rsidR="00836FFC" w:rsidRDefault="00836FFC" w:rsidP="00836FFC"/>
    <w:p w14:paraId="3A63C5AC" w14:textId="77777777" w:rsidR="00836FFC" w:rsidRDefault="00836FFC" w:rsidP="00836FFC">
      <w:r>
        <w:t>Vraag 6. Noem 5 rechten die je hebt als patiënt.</w:t>
      </w:r>
    </w:p>
    <w:p w14:paraId="20A338D2" w14:textId="77777777" w:rsidR="00836FFC" w:rsidRDefault="00836FFC" w:rsidP="00836FFC">
      <w:pPr>
        <w:pStyle w:val="Lijstalinea"/>
        <w:numPr>
          <w:ilvl w:val="0"/>
          <w:numId w:val="2"/>
        </w:numPr>
      </w:pPr>
      <w:r>
        <w:t>.</w:t>
      </w:r>
    </w:p>
    <w:p w14:paraId="30C781E5" w14:textId="77777777" w:rsidR="00836FFC" w:rsidRDefault="00836FFC" w:rsidP="00836FFC">
      <w:pPr>
        <w:pStyle w:val="Lijstalinea"/>
        <w:numPr>
          <w:ilvl w:val="0"/>
          <w:numId w:val="2"/>
        </w:numPr>
      </w:pPr>
      <w:r>
        <w:t>.</w:t>
      </w:r>
    </w:p>
    <w:p w14:paraId="70CEEB1B" w14:textId="77777777" w:rsidR="00836FFC" w:rsidRDefault="00836FFC" w:rsidP="00836FFC">
      <w:pPr>
        <w:pStyle w:val="Lijstalinea"/>
        <w:numPr>
          <w:ilvl w:val="0"/>
          <w:numId w:val="2"/>
        </w:numPr>
      </w:pPr>
      <w:r>
        <w:t>.</w:t>
      </w:r>
    </w:p>
    <w:p w14:paraId="4D1E5E7F" w14:textId="77777777" w:rsidR="00836FFC" w:rsidRDefault="00836FFC" w:rsidP="00836FFC">
      <w:pPr>
        <w:pStyle w:val="Lijstalinea"/>
        <w:numPr>
          <w:ilvl w:val="0"/>
          <w:numId w:val="2"/>
        </w:numPr>
      </w:pPr>
      <w:r>
        <w:t>.</w:t>
      </w:r>
    </w:p>
    <w:p w14:paraId="211C195C" w14:textId="77777777" w:rsidR="00836FFC" w:rsidRDefault="00836FFC" w:rsidP="00836FFC">
      <w:pPr>
        <w:pStyle w:val="Lijstalinea"/>
        <w:numPr>
          <w:ilvl w:val="0"/>
          <w:numId w:val="2"/>
        </w:numPr>
      </w:pPr>
      <w:r>
        <w:t>.</w:t>
      </w:r>
    </w:p>
    <w:p w14:paraId="4C1058CC" w14:textId="68C7DB72" w:rsidR="00836FFC" w:rsidRDefault="00836FFC" w:rsidP="00836FFC">
      <w:r>
        <w:t xml:space="preserve">Vraag 7. Waar staat de Wet BIG voor? </w:t>
      </w:r>
    </w:p>
    <w:p w14:paraId="2A2B6287" w14:textId="77777777" w:rsidR="00836FFC" w:rsidRDefault="00836FFC" w:rsidP="00836FFC">
      <w:r>
        <w:lastRenderedPageBreak/>
        <w:t xml:space="preserve">Vraag 8. Wat betekent wilsbekwaam en wilsonbekwaam? </w:t>
      </w:r>
    </w:p>
    <w:p w14:paraId="5D6F9568" w14:textId="77777777" w:rsidR="008A1AE9" w:rsidRDefault="008A1AE9" w:rsidP="00836FFC"/>
    <w:p w14:paraId="1CC391BF" w14:textId="69572CD5" w:rsidR="008A1AE9" w:rsidRDefault="008A1AE9" w:rsidP="00836FFC">
      <w:r>
        <w:t xml:space="preserve">Vraag 9. Noem twee plichten die je hebt als </w:t>
      </w:r>
      <w:r w:rsidR="00772E99">
        <w:t>patiënt</w:t>
      </w:r>
      <w:r>
        <w:t>.</w:t>
      </w:r>
    </w:p>
    <w:p w14:paraId="15BB137F" w14:textId="77777777" w:rsidR="008A1AE9" w:rsidRDefault="008A1AE9" w:rsidP="008A1AE9">
      <w:pPr>
        <w:pStyle w:val="Lijstalinea"/>
        <w:numPr>
          <w:ilvl w:val="0"/>
          <w:numId w:val="3"/>
        </w:numPr>
      </w:pPr>
      <w:r>
        <w:t>.</w:t>
      </w:r>
    </w:p>
    <w:p w14:paraId="44E7B113" w14:textId="77777777" w:rsidR="008A1AE9" w:rsidRDefault="008A1AE9" w:rsidP="008A1AE9">
      <w:pPr>
        <w:pStyle w:val="Lijstalinea"/>
        <w:numPr>
          <w:ilvl w:val="0"/>
          <w:numId w:val="3"/>
        </w:numPr>
      </w:pPr>
      <w:r>
        <w:t>.</w:t>
      </w:r>
    </w:p>
    <w:p w14:paraId="0780F9C0" w14:textId="77777777" w:rsidR="00836FFC" w:rsidRDefault="00836FFC" w:rsidP="00836FFC"/>
    <w:p w14:paraId="79F9F80A" w14:textId="77777777" w:rsidR="00836FFC" w:rsidRDefault="00836FFC" w:rsidP="00836FFC">
      <w:r>
        <w:rPr>
          <w:noProof/>
        </w:rPr>
        <mc:AlternateContent>
          <mc:Choice Requires="wps">
            <w:drawing>
              <wp:anchor distT="91440" distB="91440" distL="114300" distR="114300" simplePos="0" relativeHeight="251659264" behindDoc="0" locked="0" layoutInCell="1" allowOverlap="1" wp14:anchorId="1606B787" wp14:editId="1ABB7CDA">
                <wp:simplePos x="0" y="0"/>
                <wp:positionH relativeFrom="margin">
                  <wp:align>left</wp:align>
                </wp:positionH>
                <wp:positionV relativeFrom="paragraph">
                  <wp:posOffset>0</wp:posOffset>
                </wp:positionV>
                <wp:extent cx="5873750" cy="140398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3985"/>
                        </a:xfrm>
                        <a:prstGeom prst="rect">
                          <a:avLst/>
                        </a:prstGeom>
                        <a:noFill/>
                        <a:ln w="9525">
                          <a:noFill/>
                          <a:miter lim="800000"/>
                          <a:headEnd/>
                          <a:tailEnd/>
                        </a:ln>
                      </wps:spPr>
                      <wps:txbx>
                        <w:txbxContent>
                          <w:p w14:paraId="19AB3105" w14:textId="77777777" w:rsidR="008A1AE9" w:rsidRPr="008A1AE9" w:rsidRDefault="008A1AE9" w:rsidP="00836FFC">
                            <w:pPr>
                              <w:pBdr>
                                <w:top w:val="single" w:sz="24" w:space="8" w:color="4472C4" w:themeColor="accent1"/>
                                <w:bottom w:val="single" w:sz="24" w:space="8" w:color="4472C4" w:themeColor="accent1"/>
                              </w:pBdr>
                              <w:spacing w:after="0"/>
                              <w:rPr>
                                <w:b/>
                                <w:i/>
                                <w:iCs/>
                                <w:color w:val="4472C4" w:themeColor="accent1"/>
                                <w:sz w:val="24"/>
                              </w:rPr>
                            </w:pPr>
                            <w:r w:rsidRPr="008A1AE9">
                              <w:rPr>
                                <w:b/>
                                <w:i/>
                                <w:iCs/>
                                <w:color w:val="4472C4" w:themeColor="accent1"/>
                                <w:sz w:val="24"/>
                              </w:rPr>
                              <w:t>Theorie:</w:t>
                            </w:r>
                          </w:p>
                          <w:p w14:paraId="57843BB8" w14:textId="77777777" w:rsidR="00836FFC" w:rsidRPr="008A1AE9" w:rsidRDefault="00836FFC" w:rsidP="00836FFC">
                            <w:pPr>
                              <w:pBdr>
                                <w:top w:val="single" w:sz="24" w:space="8" w:color="4472C4" w:themeColor="accent1"/>
                                <w:bottom w:val="single" w:sz="24" w:space="8" w:color="4472C4" w:themeColor="accent1"/>
                              </w:pBdr>
                              <w:spacing w:after="0"/>
                              <w:rPr>
                                <w:b/>
                                <w:i/>
                                <w:iCs/>
                                <w:color w:val="4472C4" w:themeColor="accent1"/>
                                <w:sz w:val="24"/>
                              </w:rPr>
                            </w:pPr>
                            <w:r w:rsidRPr="008A1AE9">
                              <w:rPr>
                                <w:b/>
                                <w:i/>
                                <w:iCs/>
                                <w:color w:val="4472C4" w:themeColor="accent1"/>
                                <w:sz w:val="24"/>
                              </w:rPr>
                              <w:t>Rechten minderjarigen</w:t>
                            </w:r>
                          </w:p>
                          <w:p w14:paraId="06F3F6D0" w14:textId="77777777" w:rsidR="00836FFC" w:rsidRPr="00836FFC" w:rsidRDefault="00836FFC" w:rsidP="00836FFC">
                            <w:pPr>
                              <w:pBdr>
                                <w:top w:val="single" w:sz="24" w:space="8" w:color="4472C4" w:themeColor="accent1"/>
                                <w:bottom w:val="single" w:sz="24" w:space="8" w:color="4472C4" w:themeColor="accent1"/>
                              </w:pBdr>
                              <w:spacing w:after="0"/>
                              <w:rPr>
                                <w:i/>
                                <w:iCs/>
                                <w:color w:val="4472C4" w:themeColor="accent1"/>
                                <w:sz w:val="24"/>
                              </w:rPr>
                            </w:pPr>
                            <w:r w:rsidRPr="00836FFC">
                              <w:rPr>
                                <w:i/>
                                <w:iCs/>
                                <w:color w:val="4472C4" w:themeColor="accent1"/>
                                <w:sz w:val="24"/>
                              </w:rPr>
                              <w:t>De rechten van minderjarigen zijn de afgelopen decennia op internationaal niveau uitgewerkt, onder andere in het Verdrag inzake de rechten van het kind dat in 1989 door de Verenigde Naties werd aanvaard.</w:t>
                            </w:r>
                          </w:p>
                          <w:p w14:paraId="58502B6E" w14:textId="77777777" w:rsidR="00836FFC" w:rsidRPr="00836FFC" w:rsidRDefault="00836FFC" w:rsidP="00836FFC">
                            <w:pPr>
                              <w:pBdr>
                                <w:top w:val="single" w:sz="24" w:space="8" w:color="4472C4" w:themeColor="accent1"/>
                                <w:bottom w:val="single" w:sz="24" w:space="8" w:color="4472C4" w:themeColor="accent1"/>
                              </w:pBdr>
                              <w:spacing w:after="0"/>
                              <w:rPr>
                                <w:i/>
                                <w:iCs/>
                                <w:color w:val="4472C4" w:themeColor="accent1"/>
                                <w:sz w:val="24"/>
                              </w:rPr>
                            </w:pPr>
                          </w:p>
                          <w:p w14:paraId="169EF8B3" w14:textId="77777777" w:rsidR="00836FFC" w:rsidRDefault="00836FFC" w:rsidP="00836FFC">
                            <w:pPr>
                              <w:pBdr>
                                <w:top w:val="single" w:sz="24" w:space="8" w:color="4472C4" w:themeColor="accent1"/>
                                <w:bottom w:val="single" w:sz="24" w:space="8" w:color="4472C4" w:themeColor="accent1"/>
                              </w:pBdr>
                              <w:spacing w:after="0"/>
                              <w:rPr>
                                <w:i/>
                                <w:iCs/>
                                <w:color w:val="4472C4" w:themeColor="accent1"/>
                                <w:sz w:val="24"/>
                              </w:rPr>
                            </w:pPr>
                            <w:r w:rsidRPr="00836FFC">
                              <w:rPr>
                                <w:i/>
                                <w:iCs/>
                                <w:color w:val="4472C4" w:themeColor="accent1"/>
                                <w:sz w:val="24"/>
                              </w:rPr>
                              <w:t>Minderjarigen mogen alleen rechtshandelingen verrichten met toestemming van hun wettelijk vertegenwoordiger(s). Toestemming wordt echter verondersteld te zijn verleend als het om rechtshandelingen gaat waarvan in het maatschappelijk verkeer gebruikelijk is dat minderjarigen van deze leeftijd deze zelfstandig verrichten. Dit principe is voor medische behandelingen nader uitgewerkt in de WGBO.</w:t>
                            </w:r>
                          </w:p>
                          <w:p w14:paraId="6BB7A76B" w14:textId="77777777" w:rsidR="008A1AE9" w:rsidRDefault="008A1AE9" w:rsidP="00836FFC">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Bron: </w:t>
                            </w:r>
                            <w:r w:rsidRPr="008A1AE9">
                              <w:rPr>
                                <w:i/>
                                <w:iCs/>
                                <w:color w:val="4472C4" w:themeColor="accent1"/>
                                <w:sz w:val="24"/>
                              </w:rPr>
                              <w:t>https://www.knmg.nl/advies-richtlijnen/dossiers/rechten-minderjarigen.htm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6B787" id="_x0000_t202" coordsize="21600,21600" o:spt="202" path="m,l,21600r21600,l21600,xe">
                <v:stroke joinstyle="miter"/>
                <v:path gradientshapeok="t" o:connecttype="rect"/>
              </v:shapetype>
              <v:shape id="Tekstvak 2" o:spid="_x0000_s1026" type="#_x0000_t202" style="position:absolute;margin-left:0;margin-top:0;width:462.5pt;height:110.55pt;z-index:25165926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" filled="f" stroked="f">
                <v:textbox style="mso-fit-shape-to-text:t">
                  <w:txbxContent>
                    <w:p w14:paraId="19AB3105" w14:textId="77777777" w:rsidR="008A1AE9" w:rsidRPr="008A1AE9" w:rsidRDefault="008A1AE9" w:rsidP="00836FFC">
                      <w:pPr>
                        <w:pBdr>
                          <w:top w:val="single" w:sz="24" w:space="8" w:color="4472C4" w:themeColor="accent1"/>
                          <w:bottom w:val="single" w:sz="24" w:space="8" w:color="4472C4" w:themeColor="accent1"/>
                        </w:pBdr>
                        <w:spacing w:after="0"/>
                        <w:rPr>
                          <w:b/>
                          <w:i/>
                          <w:iCs/>
                          <w:color w:val="4472C4" w:themeColor="accent1"/>
                          <w:sz w:val="24"/>
                        </w:rPr>
                      </w:pPr>
                      <w:r w:rsidRPr="008A1AE9">
                        <w:rPr>
                          <w:b/>
                          <w:i/>
                          <w:iCs/>
                          <w:color w:val="4472C4" w:themeColor="accent1"/>
                          <w:sz w:val="24"/>
                        </w:rPr>
                        <w:t>Theorie:</w:t>
                      </w:r>
                    </w:p>
                    <w:p w14:paraId="57843BB8" w14:textId="77777777" w:rsidR="00836FFC" w:rsidRPr="008A1AE9" w:rsidRDefault="00836FFC" w:rsidP="00836FFC">
                      <w:pPr>
                        <w:pBdr>
                          <w:top w:val="single" w:sz="24" w:space="8" w:color="4472C4" w:themeColor="accent1"/>
                          <w:bottom w:val="single" w:sz="24" w:space="8" w:color="4472C4" w:themeColor="accent1"/>
                        </w:pBdr>
                        <w:spacing w:after="0"/>
                        <w:rPr>
                          <w:b/>
                          <w:i/>
                          <w:iCs/>
                          <w:color w:val="4472C4" w:themeColor="accent1"/>
                          <w:sz w:val="24"/>
                        </w:rPr>
                      </w:pPr>
                      <w:r w:rsidRPr="008A1AE9">
                        <w:rPr>
                          <w:b/>
                          <w:i/>
                          <w:iCs/>
                          <w:color w:val="4472C4" w:themeColor="accent1"/>
                          <w:sz w:val="24"/>
                        </w:rPr>
                        <w:t>Rechten minderjarigen</w:t>
                      </w:r>
                    </w:p>
                    <w:p w14:paraId="06F3F6D0" w14:textId="77777777" w:rsidR="00836FFC" w:rsidRPr="00836FFC" w:rsidRDefault="00836FFC" w:rsidP="00836FFC">
                      <w:pPr>
                        <w:pBdr>
                          <w:top w:val="single" w:sz="24" w:space="8" w:color="4472C4" w:themeColor="accent1"/>
                          <w:bottom w:val="single" w:sz="24" w:space="8" w:color="4472C4" w:themeColor="accent1"/>
                        </w:pBdr>
                        <w:spacing w:after="0"/>
                        <w:rPr>
                          <w:i/>
                          <w:iCs/>
                          <w:color w:val="4472C4" w:themeColor="accent1"/>
                          <w:sz w:val="24"/>
                        </w:rPr>
                      </w:pPr>
                      <w:r w:rsidRPr="00836FFC">
                        <w:rPr>
                          <w:i/>
                          <w:iCs/>
                          <w:color w:val="4472C4" w:themeColor="accent1"/>
                          <w:sz w:val="24"/>
                        </w:rPr>
                        <w:t>De rechten van minderjarigen zijn de afgelopen decennia op internationaal niveau uitgewerkt, onder andere in het Verdrag inzake de rechten van het kind dat in 1989 door de Verenigde Naties werd aanvaard.</w:t>
                      </w:r>
                    </w:p>
                    <w:p w14:paraId="58502B6E" w14:textId="77777777" w:rsidR="00836FFC" w:rsidRPr="00836FFC" w:rsidRDefault="00836FFC" w:rsidP="00836FFC">
                      <w:pPr>
                        <w:pBdr>
                          <w:top w:val="single" w:sz="24" w:space="8" w:color="4472C4" w:themeColor="accent1"/>
                          <w:bottom w:val="single" w:sz="24" w:space="8" w:color="4472C4" w:themeColor="accent1"/>
                        </w:pBdr>
                        <w:spacing w:after="0"/>
                        <w:rPr>
                          <w:i/>
                          <w:iCs/>
                          <w:color w:val="4472C4" w:themeColor="accent1"/>
                          <w:sz w:val="24"/>
                        </w:rPr>
                      </w:pPr>
                    </w:p>
                    <w:p w14:paraId="169EF8B3" w14:textId="77777777" w:rsidR="00836FFC" w:rsidRDefault="00836FFC" w:rsidP="00836FFC">
                      <w:pPr>
                        <w:pBdr>
                          <w:top w:val="single" w:sz="24" w:space="8" w:color="4472C4" w:themeColor="accent1"/>
                          <w:bottom w:val="single" w:sz="24" w:space="8" w:color="4472C4" w:themeColor="accent1"/>
                        </w:pBdr>
                        <w:spacing w:after="0"/>
                        <w:rPr>
                          <w:i/>
                          <w:iCs/>
                          <w:color w:val="4472C4" w:themeColor="accent1"/>
                          <w:sz w:val="24"/>
                        </w:rPr>
                      </w:pPr>
                      <w:r w:rsidRPr="00836FFC">
                        <w:rPr>
                          <w:i/>
                          <w:iCs/>
                          <w:color w:val="4472C4" w:themeColor="accent1"/>
                          <w:sz w:val="24"/>
                        </w:rPr>
                        <w:t>Minderjarigen mogen alleen rechtshandelingen verrichten met toestemming van hun wettelijk vertegenwoordiger(s). Toestemming wordt echter verondersteld te zijn verleend als het om rechtshandelingen gaat waarvan in het maatschappelijk verkeer gebruikelijk is dat minderjarigen van deze leeftijd deze zelfstandig verrichten. Dit principe is voor medische behandelingen nader uitgewerkt in de WGBO.</w:t>
                      </w:r>
                    </w:p>
                    <w:p w14:paraId="6BB7A76B" w14:textId="77777777" w:rsidR="008A1AE9" w:rsidRDefault="008A1AE9" w:rsidP="00836FFC">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Bron: </w:t>
                      </w:r>
                      <w:r w:rsidRPr="008A1AE9">
                        <w:rPr>
                          <w:i/>
                          <w:iCs/>
                          <w:color w:val="4472C4" w:themeColor="accent1"/>
                          <w:sz w:val="24"/>
                        </w:rPr>
                        <w:t>https://www.knmg.nl/advies-richtlijnen/dossiers/rechten-minderjarigen.htm</w:t>
                      </w:r>
                    </w:p>
                  </w:txbxContent>
                </v:textbox>
                <w10:wrap type="topAndBottom" anchorx="margin"/>
              </v:shape>
            </w:pict>
          </mc:Fallback>
        </mc:AlternateContent>
      </w:r>
      <w:r w:rsidR="008A1AE9">
        <w:t xml:space="preserve">Vraag 10. Tot welke leeftijd beslissen de ouders, of voogd (de wettelijke vertegenwoordigers van het kind) of er behandeling mag plaatsvinden? </w:t>
      </w:r>
    </w:p>
    <w:p w14:paraId="05AD87CE" w14:textId="77777777" w:rsidR="008A1AE9" w:rsidRDefault="008A1AE9" w:rsidP="00836FFC"/>
    <w:p w14:paraId="6D3F9A2A" w14:textId="77777777" w:rsidR="008A1AE9" w:rsidRDefault="008A1AE9" w:rsidP="00836FFC">
      <w:r>
        <w:t xml:space="preserve">Vraag 11. Vanaf welke leeftijd is er een dubbele toestemming nodig? </w:t>
      </w:r>
    </w:p>
    <w:p w14:paraId="3C0A1D2B" w14:textId="77777777" w:rsidR="008A1AE9" w:rsidRDefault="008A1AE9" w:rsidP="00836FFC"/>
    <w:p w14:paraId="6B0DC147" w14:textId="77777777" w:rsidR="008A1AE9" w:rsidRDefault="008A1AE9" w:rsidP="00836FFC">
      <w:r>
        <w:t xml:space="preserve">Vraag 12. En in welke </w:t>
      </w:r>
      <w:r w:rsidRPr="008A1AE9">
        <w:t>twee uitzonderingsgevallen is de toestemming van alleen de jongere voldoende</w:t>
      </w:r>
      <w:r>
        <w:t xml:space="preserve">? (zie o.a. bovenstaande bron </w:t>
      </w:r>
      <w:proofErr w:type="spellStart"/>
      <w:r>
        <w:t>knmg</w:t>
      </w:r>
      <w:proofErr w:type="spellEnd"/>
      <w:r>
        <w:t>)</w:t>
      </w:r>
    </w:p>
    <w:p w14:paraId="09BCA5A6" w14:textId="77777777" w:rsidR="008A1AE9" w:rsidRDefault="008A1AE9" w:rsidP="00836FFC"/>
    <w:p w14:paraId="252B97AA" w14:textId="77777777" w:rsidR="008A1AE9" w:rsidRDefault="008A1AE9" w:rsidP="00836FFC">
      <w:r>
        <w:t>Vraag 13. Vanaf welke leeftijd ben je voor de wet wilsbekwaam om je eigen keuze te maken?</w:t>
      </w:r>
    </w:p>
    <w:p w14:paraId="14661DBE" w14:textId="77777777" w:rsidR="008A1AE9" w:rsidRDefault="008A1AE9" w:rsidP="00836FFC"/>
    <w:p w14:paraId="2C8FB25B" w14:textId="77777777" w:rsidR="008A1AE9" w:rsidRDefault="008A1AE9" w:rsidP="00836FFC">
      <w:r>
        <w:t xml:space="preserve">Vraag 14. Waar staat de afkorting AVG voor? </w:t>
      </w:r>
    </w:p>
    <w:p w14:paraId="1FBA069B" w14:textId="77777777" w:rsidR="008A1AE9" w:rsidRDefault="008A1AE9" w:rsidP="00836FFC"/>
    <w:p w14:paraId="3E9C2EF7" w14:textId="77777777" w:rsidR="008A1AE9" w:rsidRDefault="008A1AE9" w:rsidP="00836FFC">
      <w:r>
        <w:t xml:space="preserve">Vraag 15. Wat betekent het volgens de richtlijnen ADEPD een dossier vastleggen? </w:t>
      </w:r>
    </w:p>
    <w:p w14:paraId="08C29E96" w14:textId="77777777" w:rsidR="008A1AE9" w:rsidRDefault="008A1AE9" w:rsidP="00836FFC"/>
    <w:p w14:paraId="636C3B42" w14:textId="563A9422" w:rsidR="00836FFC" w:rsidRDefault="008A1AE9" w:rsidP="00836FFC">
      <w:r>
        <w:t>Vraag 1</w:t>
      </w:r>
      <w:r w:rsidR="008A466A">
        <w:t xml:space="preserve">6. </w:t>
      </w:r>
      <w:r w:rsidR="008A466A" w:rsidRPr="008A466A">
        <w:t>Wat betekent “</w:t>
      </w:r>
      <w:proofErr w:type="spellStart"/>
      <w:r w:rsidR="008A466A" w:rsidRPr="008A466A">
        <w:t>informed</w:t>
      </w:r>
      <w:proofErr w:type="spellEnd"/>
      <w:r w:rsidR="008A466A" w:rsidRPr="008A466A">
        <w:t xml:space="preserve"> consent”?</w:t>
      </w:r>
      <w:bookmarkStart w:id="0" w:name="_GoBack"/>
      <w:bookmarkEnd w:id="0"/>
    </w:p>
    <w:p w14:paraId="4A2A3223" w14:textId="77777777" w:rsidR="00836FFC" w:rsidRDefault="00836FFC" w:rsidP="00836FFC"/>
    <w:p w14:paraId="4FD2366A" w14:textId="77777777" w:rsidR="00836FFC" w:rsidRDefault="00836FFC" w:rsidP="00836FFC"/>
    <w:p w14:paraId="4E7E6835" w14:textId="77777777" w:rsidR="00836FFC" w:rsidRDefault="00836FFC" w:rsidP="00181EDF"/>
    <w:p w14:paraId="6270A214" w14:textId="77777777" w:rsidR="00181EDF" w:rsidRDefault="00181EDF"/>
    <w:sectPr w:rsidR="00181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A9A"/>
    <w:multiLevelType w:val="hybridMultilevel"/>
    <w:tmpl w:val="5A68A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B23B27"/>
    <w:multiLevelType w:val="hybridMultilevel"/>
    <w:tmpl w:val="133A12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37D43BC"/>
    <w:multiLevelType w:val="hybridMultilevel"/>
    <w:tmpl w:val="9C18D4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DF"/>
    <w:rsid w:val="00181EDF"/>
    <w:rsid w:val="001A49F1"/>
    <w:rsid w:val="005E5016"/>
    <w:rsid w:val="00772E99"/>
    <w:rsid w:val="00836FFC"/>
    <w:rsid w:val="008616D9"/>
    <w:rsid w:val="008A1AE9"/>
    <w:rsid w:val="008A466A"/>
    <w:rsid w:val="00AB0D57"/>
    <w:rsid w:val="00DE5B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03B1"/>
  <w15:chartTrackingRefBased/>
  <w15:docId w15:val="{83B285A6-8B9C-4C8F-84B5-D754AEC8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6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6CDA9E82A08449E9D14AE24C88F02" ma:contentTypeVersion="10" ma:contentTypeDescription="Een nieuw document maken." ma:contentTypeScope="" ma:versionID="2b15dffcaa9b55552aedcd3f6ad83439">
  <xsd:schema xmlns:xsd="http://www.w3.org/2001/XMLSchema" xmlns:xs="http://www.w3.org/2001/XMLSchema" xmlns:p="http://schemas.microsoft.com/office/2006/metadata/properties" xmlns:ns3="e4d6c028-1491-43b9-9149-2a436a605c18" xmlns:ns4="4b78e59b-8aba-4fc5-bdb4-b8056fbe21b8" targetNamespace="http://schemas.microsoft.com/office/2006/metadata/properties" ma:root="true" ma:fieldsID="0e5650d22479684c1e21e4309080511b" ns3:_="" ns4:_="">
    <xsd:import namespace="e4d6c028-1491-43b9-9149-2a436a605c18"/>
    <xsd:import namespace="4b78e59b-8aba-4fc5-bdb4-b8056fbe2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c028-1491-43b9-9149-2a436a6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8e59b-8aba-4fc5-bdb4-b8056fbe21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05C1F-BFE4-475E-B001-3E73944D27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8BCF5-2328-4F1A-8059-EFDDFCCDEB15}">
  <ds:schemaRefs>
    <ds:schemaRef ds:uri="http://schemas.microsoft.com/sharepoint/v3/contenttype/forms"/>
  </ds:schemaRefs>
</ds:datastoreItem>
</file>

<file path=customXml/itemProps3.xml><?xml version="1.0" encoding="utf-8"?>
<ds:datastoreItem xmlns:ds="http://schemas.openxmlformats.org/officeDocument/2006/customXml" ds:itemID="{AA5D7A6E-3038-485F-911E-C98CCC86F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c028-1491-43b9-9149-2a436a605c18"/>
    <ds:schemaRef ds:uri="4b78e59b-8aba-4fc5-bdb4-b8056f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390</Words>
  <Characters>2149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4</cp:revision>
  <dcterms:created xsi:type="dcterms:W3CDTF">2020-03-18T13:24:00Z</dcterms:created>
  <dcterms:modified xsi:type="dcterms:W3CDTF">2020-03-18T13:48:00Z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0x010100F7E6CDA9E82A08449E9D14AE24C88F02</vt:lpwstr>
  </property>
</Properties>
</file>